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hd w:val="clear" w:color="auto" w:fill="FFFFFF"/>
        <w:spacing w:before="0" w:beforeAutospacing="0" w:after="0" w:afterAutospacing="0" w:line="560" w:lineRule="exact"/>
        <w:jc w:val="both"/>
        <w:rPr>
          <w:rStyle w:val="12"/>
          <w:rFonts w:ascii="仿宋_GB2312" w:hAnsi="黑体" w:eastAsia="仿宋_GB2312" w:cs="Times New Roman"/>
          <w:b w:val="0"/>
          <w:sz w:val="32"/>
          <w:szCs w:val="32"/>
        </w:rPr>
      </w:pPr>
      <w:r>
        <w:rPr>
          <w:rStyle w:val="12"/>
          <w:rFonts w:hint="eastAsia" w:ascii="仿宋_GB2312" w:hAnsi="黑体" w:eastAsia="仿宋_GB2312" w:cs="Times New Roman"/>
          <w:b w:val="0"/>
          <w:bCs/>
          <w:sz w:val="32"/>
          <w:szCs w:val="32"/>
        </w:rPr>
        <w:t>附件</w:t>
      </w:r>
      <w:r>
        <w:rPr>
          <w:rStyle w:val="12"/>
          <w:rFonts w:ascii="仿宋_GB2312" w:hAnsi="黑体" w:eastAsia="仿宋_GB2312" w:cs="Times New Roman"/>
          <w:b w:val="0"/>
          <w:bCs/>
          <w:sz w:val="32"/>
          <w:szCs w:val="32"/>
        </w:rPr>
        <w:t xml:space="preserve">2 </w:t>
      </w:r>
      <w:r>
        <w:rPr>
          <w:rStyle w:val="12"/>
          <w:rFonts w:ascii="仿宋_GB2312" w:hAnsi="黑体" w:eastAsia="仿宋_GB2312" w:cs="Times New Roman"/>
          <w:b w:val="0"/>
          <w:sz w:val="32"/>
          <w:szCs w:val="32"/>
        </w:rPr>
        <w:t xml:space="preserve">                </w:t>
      </w:r>
    </w:p>
    <w:p>
      <w:pPr>
        <w:pStyle w:val="10"/>
        <w:shd w:val="clear" w:color="auto" w:fill="FFFFFF"/>
        <w:spacing w:before="0" w:beforeAutospacing="0" w:after="0" w:afterAutospacing="0" w:line="560" w:lineRule="exact"/>
        <w:jc w:val="center"/>
        <w:rPr>
          <w:rFonts w:ascii="方正小标宋简体" w:eastAsia="方正小标宋简体"/>
          <w:sz w:val="44"/>
          <w:szCs w:val="44"/>
        </w:rPr>
      </w:pPr>
      <w:bookmarkStart w:id="5" w:name="_GoBack"/>
      <w:bookmarkEnd w:id="5"/>
      <w:r>
        <w:rPr>
          <w:rFonts w:hint="eastAsia" w:ascii="方正小标宋简体" w:eastAsia="方正小标宋简体"/>
          <w:sz w:val="44"/>
          <w:szCs w:val="44"/>
        </w:rPr>
        <w:t>贺投集团</w:t>
      </w:r>
      <w:r>
        <w:rPr>
          <w:rFonts w:ascii="方正小标宋简体" w:eastAsia="方正小标宋简体"/>
          <w:sz w:val="44"/>
          <w:szCs w:val="44"/>
        </w:rPr>
        <w:t>招聘岗位需求汇总表</w:t>
      </w:r>
    </w:p>
    <w:tbl>
      <w:tblPr>
        <w:tblStyle w:val="15"/>
        <w:tblW w:w="1388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9"/>
        <w:gridCol w:w="772"/>
        <w:gridCol w:w="1559"/>
        <w:gridCol w:w="983"/>
        <w:gridCol w:w="5254"/>
        <w:gridCol w:w="3402"/>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jc w:val="center"/>
        </w:trPr>
        <w:tc>
          <w:tcPr>
            <w:tcW w:w="499" w:type="dxa"/>
            <w:tcBorders>
              <w:bottom w:val="single" w:color="auto" w:sz="4" w:space="0"/>
            </w:tcBorders>
            <w:vAlign w:val="center"/>
          </w:tcPr>
          <w:p>
            <w:pPr>
              <w:spacing w:before="120" w:after="120" w:line="320" w:lineRule="exact"/>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序号</w:t>
            </w:r>
          </w:p>
        </w:tc>
        <w:tc>
          <w:tcPr>
            <w:tcW w:w="772" w:type="dxa"/>
            <w:tcBorders>
              <w:bottom w:val="single" w:color="auto" w:sz="4" w:space="0"/>
            </w:tcBorders>
          </w:tcPr>
          <w:p>
            <w:pPr>
              <w:spacing w:before="190" w:after="190" w:line="320" w:lineRule="exact"/>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单位</w:t>
            </w:r>
          </w:p>
        </w:tc>
        <w:tc>
          <w:tcPr>
            <w:tcW w:w="1559" w:type="dxa"/>
            <w:tcBorders>
              <w:bottom w:val="single" w:color="auto" w:sz="4" w:space="0"/>
            </w:tcBorders>
            <w:vAlign w:val="center"/>
          </w:tcPr>
          <w:p>
            <w:pPr>
              <w:spacing w:before="190" w:after="190" w:line="320" w:lineRule="exact"/>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拟招岗位</w:t>
            </w:r>
          </w:p>
        </w:tc>
        <w:tc>
          <w:tcPr>
            <w:tcW w:w="983" w:type="dxa"/>
            <w:vAlign w:val="center"/>
          </w:tcPr>
          <w:p>
            <w:pPr>
              <w:spacing w:before="190" w:after="190" w:line="320" w:lineRule="exact"/>
              <w:jc w:val="center"/>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拟招  人数</w:t>
            </w:r>
          </w:p>
        </w:tc>
        <w:tc>
          <w:tcPr>
            <w:tcW w:w="5254" w:type="dxa"/>
            <w:vAlign w:val="center"/>
          </w:tcPr>
          <w:p>
            <w:pPr>
              <w:spacing w:before="190" w:after="190" w:line="320" w:lineRule="exact"/>
              <w:jc w:val="center"/>
              <w:rPr>
                <w:rFonts w:hint="eastAsia" w:ascii="仿宋_GB2312" w:eastAsia="仿宋_GB2312" w:cs="Times New Roman" w:hAnsiTheme="minorEastAsia"/>
                <w:b/>
                <w:kern w:val="0"/>
                <w:sz w:val="28"/>
                <w:szCs w:val="28"/>
                <w:lang w:eastAsia="zh-CN"/>
              </w:rPr>
            </w:pPr>
            <w:r>
              <w:rPr>
                <w:rFonts w:hint="eastAsia" w:ascii="仿宋_GB2312" w:eastAsia="仿宋_GB2312" w:cs="Times New Roman" w:hAnsiTheme="minorEastAsia"/>
                <w:b/>
                <w:kern w:val="0"/>
                <w:sz w:val="28"/>
                <w:szCs w:val="28"/>
              </w:rPr>
              <w:t>岗位职责</w:t>
            </w:r>
            <w:r>
              <w:rPr>
                <w:rFonts w:hint="eastAsia" w:ascii="仿宋_GB2312" w:eastAsia="仿宋_GB2312" w:cs="Times New Roman" w:hAnsiTheme="minorEastAsia"/>
                <w:b/>
                <w:kern w:val="0"/>
                <w:sz w:val="28"/>
                <w:szCs w:val="28"/>
                <w:lang w:eastAsia="zh-CN"/>
              </w:rPr>
              <w:t>及要求</w:t>
            </w:r>
          </w:p>
        </w:tc>
        <w:tc>
          <w:tcPr>
            <w:tcW w:w="3402" w:type="dxa"/>
            <w:vAlign w:val="center"/>
          </w:tcPr>
          <w:p>
            <w:pPr>
              <w:spacing w:before="190" w:after="190" w:line="320" w:lineRule="exact"/>
              <w:ind w:firstLine="562"/>
              <w:rPr>
                <w:rFonts w:ascii="仿宋_GB2312" w:eastAsia="仿宋_GB2312" w:cs="Times New Roman" w:hAnsiTheme="minorEastAsia"/>
                <w:b/>
                <w:kern w:val="0"/>
                <w:sz w:val="28"/>
                <w:szCs w:val="28"/>
              </w:rPr>
            </w:pPr>
            <w:r>
              <w:rPr>
                <w:rFonts w:hint="eastAsia" w:ascii="仿宋_GB2312" w:eastAsia="仿宋_GB2312" w:cs="Times New Roman" w:hAnsiTheme="minorEastAsia"/>
                <w:b/>
                <w:kern w:val="0"/>
                <w:sz w:val="28"/>
                <w:szCs w:val="28"/>
              </w:rPr>
              <w:t>招聘岗位条件</w:t>
            </w:r>
          </w:p>
        </w:tc>
        <w:tc>
          <w:tcPr>
            <w:tcW w:w="1418" w:type="dxa"/>
            <w:vAlign w:val="center"/>
          </w:tcPr>
          <w:p>
            <w:pPr>
              <w:spacing w:before="190" w:after="190" w:line="320" w:lineRule="exact"/>
              <w:jc w:val="center"/>
              <w:rPr>
                <w:rFonts w:ascii="仿宋_GB2312" w:eastAsia="仿宋_GB2312" w:cs="Times New Roman" w:hAnsiTheme="minorEastAsia"/>
                <w:b/>
                <w:kern w:val="0"/>
                <w:sz w:val="28"/>
                <w:szCs w:val="28"/>
              </w:rPr>
            </w:pPr>
            <w:r>
              <w:rPr>
                <w:rFonts w:hint="eastAsia" w:ascii="宋体" w:hAnsi="Times New Roman" w:eastAsia="宋体" w:cs="宋体"/>
                <w:b/>
                <w:bCs/>
                <w:color w:val="000000"/>
                <w:kern w:val="0"/>
                <w:sz w:val="28"/>
                <w:szCs w:val="28"/>
              </w:rPr>
              <w:t>薪酬待遇</w:t>
            </w:r>
            <w:r>
              <w:rPr>
                <w:rFonts w:ascii="宋体" w:hAnsi="Times New Roman" w:eastAsia="宋体" w:cs="宋体"/>
                <w:b/>
                <w:bCs/>
                <w:color w:val="000000"/>
                <w:kern w:val="0"/>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45" w:hRule="atLeast"/>
          <w:jc w:val="center"/>
        </w:trPr>
        <w:tc>
          <w:tcPr>
            <w:tcW w:w="499" w:type="dxa"/>
            <w:tcBorders>
              <w:bottom w:val="single" w:color="auto" w:sz="4" w:space="0"/>
            </w:tcBorders>
            <w:vAlign w:val="center"/>
          </w:tcPr>
          <w:p>
            <w:pPr>
              <w:spacing w:before="190" w:after="190" w:line="300" w:lineRule="exact"/>
              <w:jc w:val="center"/>
              <w:rPr>
                <w:rFonts w:ascii="仿宋_GB2312" w:eastAsia="仿宋_GB2312" w:cs="Times New Roman" w:hAnsiTheme="minorEastAsia"/>
                <w:kern w:val="0"/>
                <w:sz w:val="24"/>
                <w:szCs w:val="24"/>
              </w:rPr>
            </w:pPr>
            <w:r>
              <w:rPr>
                <w:rFonts w:hint="eastAsia" w:ascii="仿宋_GB2312" w:eastAsia="仿宋_GB2312" w:cs="Times New Roman" w:hAnsiTheme="minorEastAsia"/>
                <w:kern w:val="0"/>
                <w:sz w:val="24"/>
                <w:szCs w:val="24"/>
              </w:rPr>
              <w:t>1</w:t>
            </w:r>
          </w:p>
        </w:tc>
        <w:tc>
          <w:tcPr>
            <w:tcW w:w="772" w:type="dxa"/>
            <w:tcBorders>
              <w:bottom w:val="single" w:color="auto" w:sz="4" w:space="0"/>
            </w:tcBorders>
            <w:vAlign w:val="center"/>
          </w:tcPr>
          <w:p>
            <w:pPr>
              <w:spacing w:before="190" w:after="190" w:line="300" w:lineRule="exact"/>
              <w:jc w:val="left"/>
              <w:rPr>
                <w:rFonts w:ascii="仿宋_GB2312" w:eastAsia="仿宋_GB2312" w:cs="Times New Roman" w:hAnsiTheme="minorEastAsia"/>
                <w:b/>
                <w:kern w:val="0"/>
                <w:sz w:val="28"/>
                <w:szCs w:val="28"/>
              </w:rPr>
            </w:pPr>
            <w:r>
              <w:rPr>
                <w:rFonts w:hint="eastAsia" w:ascii="仿宋_GB2312" w:hAnsi="Times New Roman" w:eastAsia="仿宋_GB2312" w:cs="仿宋_GB2312"/>
                <w:color w:val="000000"/>
                <w:kern w:val="0"/>
                <w:sz w:val="24"/>
                <w:szCs w:val="24"/>
                <w:lang w:eastAsia="zh-CN"/>
              </w:rPr>
              <w:t>贺州市贺发工程咨询有限公司</w:t>
            </w:r>
          </w:p>
        </w:tc>
        <w:tc>
          <w:tcPr>
            <w:tcW w:w="1559" w:type="dxa"/>
            <w:tcBorders>
              <w:bottom w:val="single" w:color="auto" w:sz="4" w:space="0"/>
            </w:tcBorders>
            <w:vAlign w:val="center"/>
          </w:tcPr>
          <w:p>
            <w:pPr>
              <w:spacing w:before="190" w:after="190" w:line="300" w:lineRule="exact"/>
              <w:jc w:val="center"/>
              <w:rPr>
                <w:rFonts w:hint="eastAsia" w:ascii="仿宋_GB2312" w:hAnsi="Times New Roman" w:eastAsia="仿宋_GB2312" w:cs="仿宋_GB2312"/>
                <w:color w:val="000000"/>
                <w:kern w:val="0"/>
                <w:sz w:val="24"/>
                <w:szCs w:val="24"/>
                <w:lang w:eastAsia="zh-CN"/>
              </w:rPr>
            </w:pPr>
            <w:r>
              <w:rPr>
                <w:rFonts w:hint="eastAsia" w:ascii="仿宋_GB2312" w:hAnsi="Times New Roman" w:eastAsia="仿宋_GB2312" w:cs="仿宋_GB2312"/>
                <w:color w:val="000000"/>
                <w:kern w:val="0"/>
                <w:sz w:val="24"/>
                <w:szCs w:val="24"/>
                <w:lang w:eastAsia="zh-CN"/>
              </w:rPr>
              <w:t>招标代理</w:t>
            </w:r>
          </w:p>
          <w:p>
            <w:pPr>
              <w:spacing w:before="190" w:after="190" w:line="300" w:lineRule="exact"/>
              <w:jc w:val="center"/>
              <w:rPr>
                <w:rFonts w:hint="eastAsia" w:ascii="仿宋_GB2312" w:eastAsia="仿宋_GB2312" w:cs="Times New Roman" w:hAnsiTheme="minorEastAsia"/>
                <w:b/>
                <w:kern w:val="0"/>
                <w:sz w:val="28"/>
                <w:szCs w:val="28"/>
                <w:lang w:eastAsia="zh-CN"/>
              </w:rPr>
            </w:pPr>
            <w:r>
              <w:rPr>
                <w:rFonts w:hint="eastAsia" w:ascii="仿宋_GB2312" w:hAnsi="Times New Roman" w:eastAsia="仿宋_GB2312" w:cs="仿宋_GB2312"/>
                <w:color w:val="000000"/>
                <w:kern w:val="0"/>
                <w:sz w:val="24"/>
                <w:szCs w:val="24"/>
                <w:lang w:eastAsia="zh-CN"/>
              </w:rPr>
              <w:t>专员</w:t>
            </w:r>
          </w:p>
        </w:tc>
        <w:tc>
          <w:tcPr>
            <w:tcW w:w="983" w:type="dxa"/>
            <w:vAlign w:val="center"/>
          </w:tcPr>
          <w:p>
            <w:pPr>
              <w:spacing w:before="120" w:after="120" w:line="300" w:lineRule="exact"/>
              <w:ind w:firstLine="240" w:firstLineChars="100"/>
              <w:rPr>
                <w:rFonts w:hint="eastAsia" w:ascii="Times New Roman" w:hAnsi="Times New Roman" w:eastAsia="仿宋_GB2312" w:cs="Times New Roman"/>
                <w:sz w:val="20"/>
                <w:szCs w:val="20"/>
                <w:lang w:val="en-US" w:eastAsia="zh-CN"/>
              </w:rPr>
            </w:pPr>
            <w:r>
              <w:rPr>
                <w:rFonts w:hint="eastAsia" w:ascii="仿宋_GB2312" w:eastAsia="仿宋_GB2312" w:cs="Times New Roman" w:hAnsiTheme="minorEastAsia"/>
                <w:kern w:val="0"/>
                <w:sz w:val="24"/>
                <w:szCs w:val="24"/>
                <w:lang w:val="en-US" w:eastAsia="zh-CN"/>
              </w:rPr>
              <w:t>1</w:t>
            </w:r>
          </w:p>
        </w:tc>
        <w:tc>
          <w:tcPr>
            <w:tcW w:w="5254" w:type="dxa"/>
            <w:vAlign w:val="center"/>
          </w:tcPr>
          <w:p>
            <w:pPr>
              <w:numPr>
                <w:ilvl w:val="0"/>
                <w:numId w:val="1"/>
              </w:numPr>
              <w:spacing w:before="120" w:after="120" w:line="300" w:lineRule="exact"/>
              <w:rPr>
                <w:rFonts w:hint="eastAsia"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熟练使用招投标系统软件，熟知招标程序、方式、方法、标准和要求，能主动收集、整理与学习研究招投标方面的法律法规；</w:t>
            </w:r>
          </w:p>
          <w:p>
            <w:pPr>
              <w:numPr>
                <w:ilvl w:val="0"/>
                <w:numId w:val="0"/>
              </w:numPr>
              <w:spacing w:before="120" w:after="120" w:line="300" w:lineRule="exact"/>
              <w:rPr>
                <w:rFonts w:hint="eastAsia"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2.具有较强的组织、协调、沟通能力和处理问题的应变能力；</w:t>
            </w:r>
          </w:p>
          <w:p>
            <w:pPr>
              <w:numPr>
                <w:ilvl w:val="0"/>
                <w:numId w:val="0"/>
              </w:numPr>
              <w:spacing w:before="120" w:after="120" w:line="300" w:lineRule="exact"/>
              <w:rPr>
                <w:rFonts w:hint="eastAsia"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3.负责项目招投标工作，包括与招标人洽谈沟通及签订项目合同，编制资格预审文件、招标文件，接收投标，审查投标人资格，组织开标、评标、定标，编写中标公示和发送中标通知书等。</w:t>
            </w:r>
          </w:p>
        </w:tc>
        <w:tc>
          <w:tcPr>
            <w:tcW w:w="3402" w:type="dxa"/>
            <w:vAlign w:val="center"/>
          </w:tcPr>
          <w:p>
            <w:pPr>
              <w:spacing w:before="120" w:after="120" w:line="300" w:lineRule="exac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1.本科及以上学历，工学、法学、管理学等相关专业；</w:t>
            </w:r>
          </w:p>
          <w:p>
            <w:pPr>
              <w:spacing w:before="120" w:after="120" w:line="300" w:lineRule="exact"/>
              <w:rPr>
                <w:rFonts w:ascii="仿宋_GB2312" w:eastAsia="仿宋_GB2312" w:cs="Times New Roman" w:hAnsiTheme="minorEastAsia"/>
                <w:b/>
                <w:kern w:val="0"/>
                <w:sz w:val="28"/>
                <w:szCs w:val="28"/>
              </w:rPr>
            </w:pPr>
            <w:r>
              <w:rPr>
                <w:rFonts w:hint="eastAsia" w:ascii="仿宋_GB2312" w:hAnsi="Times New Roman" w:eastAsia="仿宋_GB2312" w:cs="Times New Roman"/>
                <w:kern w:val="0"/>
                <w:sz w:val="20"/>
                <w:szCs w:val="20"/>
                <w:lang w:val="en-US" w:eastAsia="zh-CN"/>
              </w:rPr>
              <w:t>2.从事招投标工作3年以上，能独立完成招投标业务全过程工作，特别优秀者可适当放宽条件。</w:t>
            </w:r>
          </w:p>
        </w:tc>
        <w:tc>
          <w:tcPr>
            <w:tcW w:w="1418" w:type="dxa"/>
            <w:vAlign w:val="center"/>
          </w:tcPr>
          <w:p>
            <w:pPr>
              <w:spacing w:line="300" w:lineRule="exact"/>
              <w:rPr>
                <w:rFonts w:ascii="宋体" w:hAnsi="Times New Roman" w:eastAsia="宋体" w:cs="宋体"/>
                <w:b/>
                <w:bCs/>
                <w:color w:val="000000" w:themeColor="text1"/>
                <w:kern w:val="0"/>
                <w:sz w:val="28"/>
                <w:szCs w:val="28"/>
                <w14:textFill>
                  <w14:solidFill>
                    <w14:schemeClr w14:val="tx1"/>
                  </w14:solidFill>
                </w14:textFill>
              </w:rPr>
            </w:pPr>
            <w:r>
              <w:rPr>
                <w:rFonts w:hint="eastAsia" w:ascii="仿宋_GB2312" w:hAnsi="Times New Roman" w:eastAsia="仿宋_GB2312" w:cs="Times New Roman"/>
                <w:kern w:val="0"/>
                <w:sz w:val="20"/>
                <w:szCs w:val="20"/>
                <w:lang w:val="en-US" w:eastAsia="zh-CN"/>
              </w:rPr>
              <w:t>5-12万/年，五险一金，津补贴及福利，享受国家法定节假日、带薪年休假。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81" w:hRule="atLeast"/>
          <w:jc w:val="center"/>
        </w:trPr>
        <w:tc>
          <w:tcPr>
            <w:tcW w:w="499" w:type="dxa"/>
            <w:vAlign w:val="center"/>
          </w:tcPr>
          <w:p>
            <w:pPr>
              <w:spacing w:before="190" w:after="190" w:line="300" w:lineRule="exact"/>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2</w:t>
            </w:r>
          </w:p>
          <w:p>
            <w:pPr>
              <w:spacing w:before="190" w:after="190" w:line="300" w:lineRule="exact"/>
              <w:jc w:val="center"/>
              <w:rPr>
                <w:rFonts w:ascii="仿宋_GB2312" w:eastAsia="仿宋_GB2312" w:cs="Times New Roman" w:hAnsiTheme="minorEastAsia"/>
                <w:kern w:val="0"/>
                <w:sz w:val="24"/>
                <w:szCs w:val="24"/>
              </w:rPr>
            </w:pPr>
          </w:p>
        </w:tc>
        <w:tc>
          <w:tcPr>
            <w:tcW w:w="772" w:type="dxa"/>
            <w:tcBorders>
              <w:top w:val="single" w:color="auto" w:sz="4" w:space="0"/>
            </w:tcBorders>
            <w:vAlign w:val="center"/>
          </w:tcPr>
          <w:p>
            <w:pPr>
              <w:spacing w:line="300" w:lineRule="exact"/>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lang w:eastAsia="zh-CN"/>
              </w:rPr>
              <w:t>贺州市贺发工程咨询有限公司</w:t>
            </w:r>
          </w:p>
        </w:tc>
        <w:tc>
          <w:tcPr>
            <w:tcW w:w="1559" w:type="dxa"/>
            <w:vAlign w:val="center"/>
          </w:tcPr>
          <w:p>
            <w:pPr>
              <w:spacing w:line="300" w:lineRule="exact"/>
              <w:jc w:val="center"/>
              <w:rPr>
                <w:rFonts w:hint="eastAsia" w:ascii="仿宋_GB2312" w:hAnsi="Times New Roman" w:eastAsia="仿宋_GB2312" w:cs="仿宋_GB2312"/>
                <w:color w:val="000000"/>
                <w:kern w:val="0"/>
                <w:sz w:val="24"/>
                <w:szCs w:val="24"/>
                <w:lang w:eastAsia="zh-CN"/>
              </w:rPr>
            </w:pPr>
            <w:r>
              <w:rPr>
                <w:rFonts w:hint="eastAsia" w:ascii="仿宋_GB2312" w:hAnsi="Times New Roman" w:eastAsia="仿宋_GB2312" w:cs="仿宋_GB2312"/>
                <w:color w:val="000000"/>
                <w:kern w:val="0"/>
                <w:sz w:val="24"/>
                <w:szCs w:val="24"/>
                <w:lang w:eastAsia="zh-CN"/>
              </w:rPr>
              <w:t>高级咨询</w:t>
            </w:r>
          </w:p>
          <w:p>
            <w:pPr>
              <w:spacing w:line="300" w:lineRule="exact"/>
              <w:jc w:val="center"/>
              <w:rPr>
                <w:rFonts w:hint="eastAsia" w:ascii="仿宋_GB2312" w:hAnsi="Times New Roman" w:eastAsia="仿宋_GB2312" w:cs="仿宋_GB2312"/>
                <w:color w:val="000000"/>
                <w:kern w:val="0"/>
                <w:sz w:val="24"/>
                <w:szCs w:val="24"/>
                <w:lang w:eastAsia="zh-CN"/>
              </w:rPr>
            </w:pPr>
            <w:r>
              <w:rPr>
                <w:rFonts w:hint="eastAsia" w:ascii="仿宋_GB2312" w:hAnsi="Times New Roman" w:eastAsia="仿宋_GB2312" w:cs="仿宋_GB2312"/>
                <w:color w:val="000000"/>
                <w:kern w:val="0"/>
                <w:sz w:val="24"/>
                <w:szCs w:val="24"/>
                <w:lang w:eastAsia="zh-CN"/>
              </w:rPr>
              <w:t>专员</w:t>
            </w:r>
          </w:p>
        </w:tc>
        <w:tc>
          <w:tcPr>
            <w:tcW w:w="983" w:type="dxa"/>
            <w:vAlign w:val="center"/>
          </w:tcPr>
          <w:p>
            <w:pPr>
              <w:spacing w:line="300" w:lineRule="exact"/>
              <w:jc w:val="center"/>
              <w:rPr>
                <w:rFonts w:ascii="仿宋_GB2312" w:hAnsi="宋体" w:eastAsia="仿宋_GB2312" w:cs="Times New Roman"/>
                <w:kern w:val="0"/>
                <w:sz w:val="20"/>
                <w:szCs w:val="28"/>
              </w:rPr>
            </w:pPr>
          </w:p>
          <w:p>
            <w:pPr>
              <w:spacing w:line="300" w:lineRule="exact"/>
              <w:ind w:firstLine="240" w:firstLineChars="100"/>
              <w:jc w:val="both"/>
              <w:rPr>
                <w:rFonts w:hint="eastAsia" w:ascii="仿宋_GB2312" w:hAnsi="宋体" w:eastAsia="仿宋_GB2312" w:cs="Times New Roman"/>
                <w:kern w:val="0"/>
                <w:sz w:val="20"/>
                <w:szCs w:val="28"/>
                <w:lang w:eastAsia="zh-CN"/>
              </w:rPr>
            </w:pPr>
            <w:r>
              <w:rPr>
                <w:rFonts w:hint="eastAsia" w:ascii="仿宋_GB2312" w:eastAsia="仿宋_GB2312" w:cs="Times New Roman" w:hAnsiTheme="minorEastAsia"/>
                <w:kern w:val="0"/>
                <w:sz w:val="24"/>
                <w:szCs w:val="24"/>
                <w:lang w:val="en-US" w:eastAsia="zh-CN"/>
              </w:rPr>
              <w:t>2</w:t>
            </w:r>
          </w:p>
          <w:p>
            <w:pPr>
              <w:spacing w:line="300" w:lineRule="exact"/>
              <w:jc w:val="center"/>
              <w:rPr>
                <w:rFonts w:ascii="仿宋_GB2312" w:hAnsi="宋体" w:eastAsia="仿宋_GB2312" w:cs="Times New Roman"/>
                <w:kern w:val="0"/>
                <w:sz w:val="20"/>
                <w:szCs w:val="28"/>
              </w:rPr>
            </w:pPr>
          </w:p>
        </w:tc>
        <w:tc>
          <w:tcPr>
            <w:tcW w:w="5254" w:type="dxa"/>
            <w:vAlign w:val="center"/>
          </w:tcPr>
          <w:p>
            <w:pPr>
              <w:numPr>
                <w:ilvl w:val="0"/>
                <w:numId w:val="0"/>
              </w:numPr>
              <w:spacing w:line="300" w:lineRule="exact"/>
              <w:rPr>
                <w:rFonts w:hint="eastAsia" w:ascii="Times New Roman" w:hAnsi="Times New Roman" w:eastAsia="仿宋_GB2312" w:cs="Times New Roman"/>
                <w:sz w:val="20"/>
                <w:szCs w:val="20"/>
                <w:lang w:val="en-US" w:eastAsia="zh-CN"/>
              </w:rPr>
            </w:pPr>
            <w:r>
              <w:rPr>
                <w:rFonts w:hint="eastAsia" w:ascii="Times New Roman" w:hAnsi="Times New Roman" w:eastAsia="仿宋_GB2312" w:cs="Times New Roman"/>
                <w:sz w:val="20"/>
                <w:szCs w:val="20"/>
                <w:lang w:val="en-US" w:eastAsia="zh-CN"/>
              </w:rPr>
              <w:t>1.负责项目前期相关报告的编制工作，包括项目规划、项目建议书、可研、实施方案、水保、节能、社稳等报告编制及评估工作；</w:t>
            </w:r>
          </w:p>
          <w:p>
            <w:pPr>
              <w:numPr>
                <w:ilvl w:val="0"/>
                <w:numId w:val="0"/>
              </w:numPr>
              <w:spacing w:line="300" w:lineRule="exact"/>
              <w:rPr>
                <w:rFonts w:ascii="仿宋_GB2312" w:hAnsi="宋体" w:eastAsia="仿宋_GB2312" w:cs="Times New Roman"/>
                <w:kern w:val="0"/>
                <w:sz w:val="20"/>
                <w:szCs w:val="28"/>
              </w:rPr>
            </w:pPr>
            <w:r>
              <w:rPr>
                <w:rFonts w:hint="eastAsia" w:ascii="Times New Roman" w:hAnsi="Times New Roman" w:eastAsia="仿宋_GB2312" w:cs="Times New Roman"/>
                <w:sz w:val="20"/>
                <w:szCs w:val="20"/>
                <w:lang w:val="en-US" w:eastAsia="zh-CN"/>
              </w:rPr>
              <w:t>2.负责公司咨询文件的技术监督、报告审核等工作。</w:t>
            </w:r>
          </w:p>
        </w:tc>
        <w:tc>
          <w:tcPr>
            <w:tcW w:w="3402" w:type="dxa"/>
            <w:vAlign w:val="center"/>
          </w:tcPr>
          <w:p>
            <w:pPr>
              <w:spacing w:line="30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1.本科及以上学历，工学、管理学等相关专业相关专业；</w:t>
            </w:r>
          </w:p>
          <w:p>
            <w:pPr>
              <w:spacing w:line="300" w:lineRule="exact"/>
              <w:jc w:val="left"/>
              <w:rPr>
                <w:rFonts w:ascii="仿宋_GB2312" w:eastAsia="仿宋_GB2312" w:cs="Times New Roman" w:hAnsiTheme="minorEastAsia"/>
                <w:color w:val="000000" w:themeColor="text1"/>
                <w:kern w:val="0"/>
                <w:sz w:val="20"/>
                <w:szCs w:val="20"/>
                <w14:textFill>
                  <w14:solidFill>
                    <w14:schemeClr w14:val="tx1"/>
                  </w14:solidFill>
                </w14:textFill>
              </w:rPr>
            </w:pPr>
            <w:r>
              <w:rPr>
                <w:rFonts w:hint="eastAsia" w:ascii="仿宋_GB2312" w:hAnsi="Times New Roman" w:eastAsia="仿宋_GB2312" w:cs="Times New Roman"/>
                <w:kern w:val="0"/>
                <w:sz w:val="20"/>
                <w:szCs w:val="20"/>
                <w:lang w:val="en-US" w:eastAsia="zh-CN"/>
              </w:rPr>
              <w:t>2.从事项目前期报告编制工作3年以上，能独立编制相关咨询文件，具有咨询工程师（建筑或市政专业）执业资格证书者或高级工程师职称（房建或市政专业）者优先。特别优秀者可适当放宽条件。</w:t>
            </w:r>
          </w:p>
        </w:tc>
        <w:tc>
          <w:tcPr>
            <w:tcW w:w="1418" w:type="dxa"/>
            <w:vAlign w:val="center"/>
          </w:tcPr>
          <w:p>
            <w:pPr>
              <w:spacing w:line="300" w:lineRule="exac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5.4-15万/年，五险一金，津补贴及福利，享受国家法定节假日、带薪年休假。</w:t>
            </w:r>
          </w:p>
          <w:p>
            <w:pPr>
              <w:spacing w:line="300" w:lineRule="exact"/>
              <w:rPr>
                <w:rFonts w:ascii="仿宋_GB2312" w:hAnsi="Times New Roman" w:eastAsia="仿宋_GB2312" w:cs="仿宋_GB2312"/>
                <w:color w:val="000000" w:themeColor="text1"/>
                <w:kern w:val="0"/>
                <w:sz w:val="20"/>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80" w:hRule="atLeast"/>
          <w:jc w:val="center"/>
        </w:trPr>
        <w:tc>
          <w:tcPr>
            <w:tcW w:w="499" w:type="dxa"/>
            <w:vAlign w:val="center"/>
          </w:tcPr>
          <w:p>
            <w:pPr>
              <w:spacing w:before="190" w:after="190" w:line="300" w:lineRule="exact"/>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3</w:t>
            </w:r>
          </w:p>
        </w:tc>
        <w:tc>
          <w:tcPr>
            <w:tcW w:w="772" w:type="dxa"/>
            <w:vAlign w:val="center"/>
          </w:tcPr>
          <w:p>
            <w:pPr>
              <w:spacing w:line="300" w:lineRule="exact"/>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lang w:eastAsia="zh-CN"/>
              </w:rPr>
              <w:t>贺州新经济新业态创业投资基金有限公司</w:t>
            </w:r>
          </w:p>
        </w:tc>
        <w:tc>
          <w:tcPr>
            <w:tcW w:w="1559" w:type="dxa"/>
            <w:vAlign w:val="center"/>
          </w:tcPr>
          <w:p>
            <w:pPr>
              <w:spacing w:line="300" w:lineRule="exact"/>
              <w:jc w:val="center"/>
              <w:rPr>
                <w:rFonts w:hint="eastAsia" w:ascii="仿宋_GB2312" w:hAnsi="Times New Roman" w:eastAsia="仿宋_GB2312" w:cs="仿宋_GB2312"/>
                <w:color w:val="000000"/>
                <w:kern w:val="0"/>
                <w:sz w:val="24"/>
                <w:szCs w:val="24"/>
                <w:lang w:val="en-US" w:eastAsia="zh-CN"/>
              </w:rPr>
            </w:pPr>
            <w:r>
              <w:rPr>
                <w:rFonts w:hint="eastAsia" w:ascii="仿宋_GB2312" w:hAnsi="Times New Roman" w:eastAsia="仿宋_GB2312" w:cs="仿宋_GB2312"/>
                <w:color w:val="000000"/>
                <w:kern w:val="0"/>
                <w:sz w:val="24"/>
                <w:szCs w:val="24"/>
                <w:lang w:val="en-US" w:eastAsia="zh-CN"/>
              </w:rPr>
              <w:t>综合管理部经理（财务负责人）</w:t>
            </w:r>
          </w:p>
        </w:tc>
        <w:tc>
          <w:tcPr>
            <w:tcW w:w="983" w:type="dxa"/>
            <w:vAlign w:val="center"/>
          </w:tcPr>
          <w:p>
            <w:pPr>
              <w:spacing w:before="190" w:after="190" w:line="300" w:lineRule="exact"/>
              <w:ind w:firstLine="228" w:firstLineChars="95"/>
              <w:rPr>
                <w:rFonts w:hint="eastAsia" w:ascii="仿宋_GB2312" w:eastAsia="仿宋_GB2312" w:cs="Times New Roman" w:hAnsiTheme="minorEastAsia"/>
                <w:kern w:val="0"/>
                <w:sz w:val="24"/>
                <w:szCs w:val="24"/>
                <w:lang w:val="en-US" w:eastAsia="zh-CN"/>
              </w:rPr>
            </w:pPr>
            <w:r>
              <w:rPr>
                <w:rFonts w:hint="eastAsia" w:ascii="仿宋_GB2312" w:eastAsia="仿宋_GB2312" w:cs="Times New Roman" w:hAnsiTheme="minorEastAsia"/>
                <w:kern w:val="0"/>
                <w:sz w:val="24"/>
                <w:szCs w:val="24"/>
                <w:lang w:val="en-US" w:eastAsia="zh-CN"/>
              </w:rPr>
              <w:t>1</w:t>
            </w:r>
          </w:p>
        </w:tc>
        <w:tc>
          <w:tcPr>
            <w:tcW w:w="5254" w:type="dxa"/>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1.组织财务机构及所属单位、子</w:t>
            </w:r>
            <w:bookmarkStart w:id="0" w:name="（一）组织财务机构及所属单位、子公司财会人员贯彻执行国家有关财经法律、法规、方针"/>
            <w:bookmarkEnd w:id="0"/>
            <w:r>
              <w:rPr>
                <w:rFonts w:hint="eastAsia" w:ascii="Times New Roman" w:hAnsi="Times New Roman" w:eastAsia="仿宋_GB2312" w:cs="Times New Roman"/>
                <w:kern w:val="2"/>
                <w:sz w:val="20"/>
                <w:szCs w:val="20"/>
                <w:lang w:val="en-US" w:eastAsia="zh-CN" w:bidi="ar-SA"/>
              </w:rPr>
              <w:t>公司财会人员贯彻执行国家有关财经法律、法规、方针、政策和制度，拟订并实施财务管理相关规定，组织会计核算以及编制会计报表和财务报告；</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2.参与编制和执行各项财务预算</w:t>
            </w:r>
            <w:bookmarkStart w:id="1" w:name="（二）参与编制和执行各项财务预算、财务收支计划；参与各种融资方案的制定并配合落实"/>
            <w:bookmarkEnd w:id="1"/>
            <w:r>
              <w:rPr>
                <w:rFonts w:hint="eastAsia" w:ascii="Times New Roman" w:hAnsi="Times New Roman" w:eastAsia="仿宋_GB2312" w:cs="Times New Roman"/>
                <w:kern w:val="2"/>
                <w:sz w:val="20"/>
                <w:szCs w:val="20"/>
                <w:lang w:val="en-US" w:eastAsia="zh-CN" w:bidi="ar-SA"/>
              </w:rPr>
              <w:t>、财务收支计划；参与各种投资方案的制定并配合落实，做好资金筹措；参与资金运用方案的制定，合理有效使用资金；参与公司重大经济活动的分析与决策；</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 xml:space="preserve">3.审核、签署财务报告，保证财务会计报告的真实、完整、合法； </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4.协调本部门与公司各职能部门之间的关系，定期检查财务预算和收支计划的执行情况，与有关职能部门协作配合，开展经济活动分析，督促各部门降低成本、节约支出、提高</w:t>
            </w:r>
            <w:bookmarkStart w:id="2" w:name="第十九条_计划财务中心稽核人员和内部审计人员负责对各单位的货币资金内部控制情况进"/>
            <w:bookmarkEnd w:id="2"/>
            <w:bookmarkStart w:id="3" w:name="第十七条_公司对货币资金业务建立严格的授权制度和审核批准制度，并按照规定的权限和"/>
            <w:bookmarkEnd w:id="3"/>
            <w:bookmarkStart w:id="4" w:name="第十八条_严禁未经授权的部门或人员办理资金业务或直接接触资金。对于重要货币资金支"/>
            <w:bookmarkEnd w:id="4"/>
            <w:r>
              <w:rPr>
                <w:rFonts w:hint="eastAsia" w:ascii="Times New Roman" w:hAnsi="Times New Roman" w:eastAsia="仿宋_GB2312" w:cs="Times New Roman"/>
                <w:kern w:val="2"/>
                <w:sz w:val="20"/>
                <w:szCs w:val="20"/>
                <w:lang w:val="en-US" w:eastAsia="zh-CN" w:bidi="ar-SA"/>
              </w:rPr>
              <w:t>效益；</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5.依法维护财经纪律和财务制度，制止和纠正违法和违纪行为，依法维护公司权益，保护公司财产安全、完整，接受董事会、监事会、总经理和内部审计的监督检查。</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6.组织完成公司行政事务管理。</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pPr>
            <w:r>
              <w:rPr>
                <w:rFonts w:hint="eastAsia" w:ascii="Times New Roman" w:hAnsi="Times New Roman" w:eastAsia="仿宋_GB2312" w:cs="Times New Roman"/>
                <w:kern w:val="2"/>
                <w:sz w:val="20"/>
                <w:szCs w:val="20"/>
                <w:lang w:val="en-US" w:eastAsia="zh-CN" w:bidi="ar-SA"/>
              </w:rPr>
              <w:t>7.完成领导交办的其他工作。</w:t>
            </w:r>
          </w:p>
          <w:p/>
          <w:p>
            <w:pPr>
              <w:pStyle w:val="2"/>
            </w:pPr>
          </w:p>
        </w:tc>
        <w:tc>
          <w:tcPr>
            <w:tcW w:w="3402" w:type="dxa"/>
            <w:vAlign w:val="center"/>
          </w:tcPr>
          <w:p>
            <w:pPr>
              <w:spacing w:line="30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1.40岁以下，本科及以上学历，金融学、会计学、财务管理、经济学等专业；</w:t>
            </w:r>
          </w:p>
          <w:p>
            <w:pPr>
              <w:spacing w:line="300" w:lineRule="exact"/>
              <w:jc w:val="left"/>
              <w:rPr>
                <w:rFonts w:hint="default"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2.具有中级会计师职称；具有基金从业资格优先；</w:t>
            </w:r>
          </w:p>
          <w:p>
            <w:pPr>
              <w:spacing w:line="30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3.具有三年以上国有企业财务管理任职经历，一年以上中层副职及以上工作经历，熟悉财务专业知识，责任心强，工作严谨认真；具有良好的职业素养；</w:t>
            </w:r>
          </w:p>
          <w:p>
            <w:pPr>
              <w:spacing w:line="300" w:lineRule="exact"/>
              <w:jc w:val="left"/>
              <w:rPr>
                <w:rFonts w:ascii="仿宋_GB2312" w:eastAsia="仿宋_GB2312" w:cs="Times New Roman" w:hAnsiTheme="minorEastAsia"/>
                <w:color w:val="000000" w:themeColor="text1"/>
                <w:kern w:val="0"/>
                <w:sz w:val="24"/>
                <w:szCs w:val="24"/>
                <w14:textFill>
                  <w14:solidFill>
                    <w14:schemeClr w14:val="tx1"/>
                  </w14:solidFill>
                </w14:textFill>
              </w:rPr>
            </w:pPr>
            <w:r>
              <w:rPr>
                <w:rFonts w:hint="eastAsia" w:ascii="仿宋_GB2312" w:hAnsi="Times New Roman" w:eastAsia="仿宋_GB2312" w:cs="Times New Roman"/>
                <w:kern w:val="0"/>
                <w:sz w:val="20"/>
                <w:szCs w:val="20"/>
                <w:lang w:val="en-US" w:eastAsia="zh-CN"/>
              </w:rPr>
              <w:t>4.具备扎实的文字功底和公文写作能力、财务分析能力，能独立编写公司财务分析报告、财务预算报告等经营性工作报告。</w:t>
            </w:r>
          </w:p>
        </w:tc>
        <w:tc>
          <w:tcPr>
            <w:tcW w:w="1418" w:type="dxa"/>
            <w:vAlign w:val="center"/>
          </w:tcPr>
          <w:p>
            <w:pPr>
              <w:spacing w:line="300" w:lineRule="exact"/>
              <w:rPr>
                <w:rFonts w:ascii="仿宋_GB2312" w:eastAsia="仿宋_GB2312" w:cs="Times New Roman" w:hAnsiTheme="minorEastAsia"/>
                <w:color w:val="000000" w:themeColor="text1"/>
                <w:kern w:val="0"/>
                <w:sz w:val="24"/>
                <w:szCs w:val="24"/>
                <w14:textFill>
                  <w14:solidFill>
                    <w14:schemeClr w14:val="tx1"/>
                  </w14:solidFill>
                </w14:textFill>
              </w:rPr>
            </w:pPr>
            <w:r>
              <w:rPr>
                <w:rFonts w:hint="eastAsia" w:ascii="仿宋_GB2312" w:hAnsi="Times New Roman" w:eastAsia="仿宋_GB2312" w:cs="Times New Roman"/>
                <w:kern w:val="0"/>
                <w:sz w:val="20"/>
                <w:szCs w:val="20"/>
                <w:lang w:val="en-US" w:eastAsia="zh-CN"/>
              </w:rPr>
              <w:t>7.7-9万/年，五险一金，津补贴及福利，享受国家法定节假日、带薪年休假。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65" w:hRule="atLeast"/>
          <w:jc w:val="center"/>
        </w:trPr>
        <w:tc>
          <w:tcPr>
            <w:tcW w:w="499" w:type="dxa"/>
            <w:vAlign w:val="center"/>
          </w:tcPr>
          <w:p>
            <w:pPr>
              <w:spacing w:before="190" w:after="190" w:line="300" w:lineRule="exact"/>
              <w:jc w:val="center"/>
              <w:rPr>
                <w:rFonts w:ascii="仿宋_GB2312" w:eastAsia="仿宋_GB2312" w:cs="Times New Roman" w:hAnsiTheme="minorEastAsia"/>
                <w:kern w:val="0"/>
                <w:sz w:val="24"/>
                <w:szCs w:val="24"/>
              </w:rPr>
            </w:pPr>
            <w:r>
              <w:rPr>
                <w:rFonts w:ascii="仿宋_GB2312" w:eastAsia="仿宋_GB2312" w:cs="Times New Roman" w:hAnsiTheme="minorEastAsia"/>
                <w:kern w:val="0"/>
                <w:sz w:val="24"/>
                <w:szCs w:val="24"/>
              </w:rPr>
              <w:t>4</w:t>
            </w:r>
          </w:p>
        </w:tc>
        <w:tc>
          <w:tcPr>
            <w:tcW w:w="772" w:type="dxa"/>
            <w:vAlign w:val="center"/>
          </w:tcPr>
          <w:p>
            <w:pPr>
              <w:spacing w:line="300" w:lineRule="exact"/>
              <w:jc w:val="center"/>
              <w:rPr>
                <w:rFonts w:ascii="仿宋_GB2312" w:hAnsi="Times New Roman" w:eastAsia="仿宋_GB2312" w:cs="仿宋_GB2312"/>
                <w:color w:val="000000"/>
                <w:kern w:val="0"/>
                <w:sz w:val="24"/>
                <w:szCs w:val="24"/>
              </w:rPr>
            </w:pPr>
            <w:r>
              <w:rPr>
                <w:rFonts w:hint="eastAsia" w:ascii="仿宋_GB2312" w:hAnsi="Times New Roman" w:eastAsia="仿宋_GB2312" w:cs="仿宋_GB2312"/>
                <w:color w:val="000000"/>
                <w:kern w:val="0"/>
                <w:sz w:val="24"/>
                <w:szCs w:val="24"/>
                <w:lang w:eastAsia="zh-CN"/>
              </w:rPr>
              <w:t>贺州新经济新业态创业投资基金有限公司</w:t>
            </w:r>
          </w:p>
        </w:tc>
        <w:tc>
          <w:tcPr>
            <w:tcW w:w="1559" w:type="dxa"/>
            <w:vAlign w:val="center"/>
          </w:tcPr>
          <w:p>
            <w:pPr>
              <w:spacing w:line="300" w:lineRule="exact"/>
              <w:jc w:val="center"/>
              <w:rPr>
                <w:rFonts w:ascii="仿宋_GB2312" w:hAnsi="Times New Roman" w:eastAsia="仿宋_GB2312" w:cs="仿宋_GB2312"/>
                <w:color w:val="000000"/>
                <w:kern w:val="0"/>
                <w:sz w:val="24"/>
                <w:szCs w:val="24"/>
              </w:rPr>
            </w:pPr>
            <w:r>
              <w:rPr>
                <w:rFonts w:hint="default" w:ascii="仿宋_GB2312" w:hAnsi="Times New Roman" w:eastAsia="仿宋_GB2312" w:cs="仿宋_GB2312"/>
                <w:color w:val="000000"/>
                <w:kern w:val="0"/>
                <w:sz w:val="24"/>
                <w:szCs w:val="24"/>
                <w:lang w:val="en-US" w:eastAsia="zh-CN"/>
              </w:rPr>
              <w:t>综合管理部信息披露专员</w:t>
            </w:r>
          </w:p>
        </w:tc>
        <w:tc>
          <w:tcPr>
            <w:tcW w:w="983" w:type="dxa"/>
            <w:vAlign w:val="center"/>
          </w:tcPr>
          <w:p>
            <w:pPr>
              <w:spacing w:before="190" w:after="190" w:line="300" w:lineRule="exact"/>
              <w:ind w:firstLine="228" w:firstLineChars="95"/>
              <w:rPr>
                <w:rFonts w:hint="eastAsia" w:ascii="仿宋_GB2312" w:eastAsia="仿宋_GB2312" w:cs="Times New Roman" w:hAnsiTheme="minorEastAsia"/>
                <w:kern w:val="0"/>
                <w:sz w:val="24"/>
                <w:szCs w:val="24"/>
                <w:lang w:val="en-US" w:eastAsia="zh-CN"/>
              </w:rPr>
            </w:pPr>
            <w:r>
              <w:rPr>
                <w:rFonts w:hint="eastAsia" w:ascii="仿宋_GB2312" w:eastAsia="仿宋_GB2312" w:cs="Times New Roman" w:hAnsiTheme="minorEastAsia"/>
                <w:kern w:val="0"/>
                <w:sz w:val="24"/>
                <w:szCs w:val="24"/>
                <w:lang w:val="en-US" w:eastAsia="zh-CN"/>
              </w:rPr>
              <w:t>1</w:t>
            </w:r>
          </w:p>
        </w:tc>
        <w:tc>
          <w:tcPr>
            <w:tcW w:w="5254" w:type="dxa"/>
            <w:vAlign w:val="center"/>
          </w:tcPr>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1.根据中国证券投资基金业协会对私募基金备案系统及公司信息披露制度等相关要求,在规定的时间内、在基金业协会指定的私募基金备案系统、以规定的披露方式向投资者公布基金定期披露信息、定期更新信息及重大事项信息；</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default"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2.配合本部门完成日常管理事务；</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3.协助各部门完成公司下达的工作任务；</w:t>
            </w:r>
          </w:p>
          <w:p>
            <w:pPr>
              <w:pStyle w:val="4"/>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both"/>
              <w:textAlignment w:val="auto"/>
              <w:rPr>
                <w:rFonts w:hint="eastAsia" w:ascii="Times New Roman" w:hAnsi="Times New Roman" w:eastAsia="仿宋_GB2312" w:cs="Times New Roman"/>
                <w:kern w:val="2"/>
                <w:sz w:val="20"/>
                <w:szCs w:val="20"/>
                <w:lang w:val="en-US" w:eastAsia="zh-CN" w:bidi="ar-SA"/>
              </w:rPr>
            </w:pPr>
            <w:r>
              <w:rPr>
                <w:rFonts w:hint="eastAsia" w:ascii="Times New Roman" w:hAnsi="Times New Roman" w:eastAsia="仿宋_GB2312" w:cs="Times New Roman"/>
                <w:kern w:val="2"/>
                <w:sz w:val="20"/>
                <w:szCs w:val="20"/>
                <w:lang w:val="en-US" w:eastAsia="zh-CN" w:bidi="ar-SA"/>
              </w:rPr>
              <w:t>4.完成领导交办的其他工作</w:t>
            </w:r>
          </w:p>
        </w:tc>
        <w:tc>
          <w:tcPr>
            <w:tcW w:w="3402" w:type="dxa"/>
            <w:vAlign w:val="center"/>
          </w:tcPr>
          <w:p>
            <w:pPr>
              <w:spacing w:line="30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1.40岁以下，本科及以上学历，法学、会计学、经济学等专业；</w:t>
            </w:r>
          </w:p>
          <w:p>
            <w:pPr>
              <w:spacing w:line="30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2.具有基金从业资格；</w:t>
            </w:r>
          </w:p>
          <w:p>
            <w:pPr>
              <w:spacing w:line="300" w:lineRule="exact"/>
              <w:jc w:val="left"/>
              <w:rPr>
                <w:rFonts w:hint="eastAsia"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3.具有两年以上私募投资基金信息披露工作经验，熟悉中国证券投资基金业协会信息披露制度要求，责任心强，工作严谨认真，具有良好的职业素养；</w:t>
            </w:r>
          </w:p>
          <w:p>
            <w:pPr>
              <w:spacing w:line="300" w:lineRule="exact"/>
              <w:jc w:val="left"/>
              <w:rPr>
                <w:rFonts w:ascii="仿宋_GB2312" w:eastAsia="仿宋_GB2312" w:cs="Times New Roman" w:hAnsiTheme="minorEastAsia"/>
                <w:kern w:val="0"/>
                <w:sz w:val="24"/>
                <w:szCs w:val="24"/>
              </w:rPr>
            </w:pPr>
            <w:r>
              <w:rPr>
                <w:rFonts w:hint="eastAsia" w:ascii="仿宋_GB2312" w:hAnsi="Times New Roman" w:eastAsia="仿宋_GB2312" w:cs="Times New Roman"/>
                <w:kern w:val="0"/>
                <w:sz w:val="20"/>
                <w:szCs w:val="20"/>
                <w:lang w:val="en-US" w:eastAsia="zh-CN"/>
              </w:rPr>
              <w:t>4.具备扎实的文字功底和公文写作能力，突发事件应急处理能力，能独立编写信息披露报告。</w:t>
            </w:r>
          </w:p>
        </w:tc>
        <w:tc>
          <w:tcPr>
            <w:tcW w:w="1418" w:type="dxa"/>
            <w:vAlign w:val="center"/>
          </w:tcPr>
          <w:p>
            <w:pPr>
              <w:spacing w:line="300" w:lineRule="exact"/>
              <w:rPr>
                <w:rFonts w:hint="default" w:ascii="仿宋_GB2312" w:hAnsi="Times New Roman" w:eastAsia="仿宋_GB2312" w:cs="Times New Roman"/>
                <w:kern w:val="0"/>
                <w:sz w:val="20"/>
                <w:szCs w:val="20"/>
                <w:lang w:val="en-US" w:eastAsia="zh-CN"/>
              </w:rPr>
            </w:pPr>
            <w:r>
              <w:rPr>
                <w:rFonts w:hint="eastAsia" w:ascii="仿宋_GB2312" w:hAnsi="Times New Roman" w:eastAsia="仿宋_GB2312" w:cs="Times New Roman"/>
                <w:kern w:val="0"/>
                <w:sz w:val="20"/>
                <w:szCs w:val="20"/>
                <w:lang w:val="en-US" w:eastAsia="zh-CN"/>
              </w:rPr>
              <w:t>4.2-6万/年，五险一金，津补贴及福利，享受国家法定节假日、带薪年休假。</w:t>
            </w:r>
          </w:p>
          <w:p>
            <w:pPr>
              <w:spacing w:line="300" w:lineRule="exact"/>
              <w:rPr>
                <w:rFonts w:ascii="仿宋_GB2312" w:hAnsi="Times New Roman" w:eastAsia="仿宋_GB2312" w:cs="仿宋_GB2312"/>
                <w:color w:val="FF0000"/>
                <w:kern w:val="0"/>
                <w:sz w:val="20"/>
                <w:szCs w:val="21"/>
              </w:rPr>
            </w:pPr>
          </w:p>
        </w:tc>
      </w:tr>
    </w:tbl>
    <w:p>
      <w:pPr>
        <w:pStyle w:val="10"/>
        <w:shd w:val="clear" w:color="auto" w:fill="FFFFFF"/>
        <w:spacing w:before="0" w:beforeAutospacing="0" w:after="0" w:afterAutospacing="0" w:line="580" w:lineRule="exact"/>
        <w:jc w:val="both"/>
        <w:rPr>
          <w:rFonts w:ascii="黑体" w:hAnsi="黑体" w:eastAsia="黑体"/>
          <w:sz w:val="32"/>
          <w:szCs w:val="32"/>
        </w:rPr>
      </w:pPr>
    </w:p>
    <w:sectPr>
      <w:pgSz w:w="16838" w:h="11906" w:orient="landscape"/>
      <w:pgMar w:top="1531" w:right="1588" w:bottom="1531"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FangSong_GB2312">
    <w:altName w:val="仿宋_GB2312"/>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68E14"/>
    <w:multiLevelType w:val="singleLevel"/>
    <w:tmpl w:val="79E68E1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81"/>
    <w:rsid w:val="00017209"/>
    <w:rsid w:val="00040B8B"/>
    <w:rsid w:val="000757CA"/>
    <w:rsid w:val="00082849"/>
    <w:rsid w:val="000A19FD"/>
    <w:rsid w:val="000A5631"/>
    <w:rsid w:val="000A7634"/>
    <w:rsid w:val="000B2722"/>
    <w:rsid w:val="000B7E7E"/>
    <w:rsid w:val="000C06EE"/>
    <w:rsid w:val="000F6959"/>
    <w:rsid w:val="000F74DD"/>
    <w:rsid w:val="00114EBE"/>
    <w:rsid w:val="00115DA2"/>
    <w:rsid w:val="00127D9C"/>
    <w:rsid w:val="00133A8F"/>
    <w:rsid w:val="001453AB"/>
    <w:rsid w:val="00147067"/>
    <w:rsid w:val="0016224F"/>
    <w:rsid w:val="00163152"/>
    <w:rsid w:val="001C7E9B"/>
    <w:rsid w:val="001D002E"/>
    <w:rsid w:val="001F4335"/>
    <w:rsid w:val="00201100"/>
    <w:rsid w:val="00223F51"/>
    <w:rsid w:val="00242E9A"/>
    <w:rsid w:val="002643CD"/>
    <w:rsid w:val="002A2CDF"/>
    <w:rsid w:val="002B1047"/>
    <w:rsid w:val="002B7625"/>
    <w:rsid w:val="00350652"/>
    <w:rsid w:val="00355364"/>
    <w:rsid w:val="003906C8"/>
    <w:rsid w:val="00397CF2"/>
    <w:rsid w:val="003F18C1"/>
    <w:rsid w:val="0041710C"/>
    <w:rsid w:val="00422E98"/>
    <w:rsid w:val="00423D2B"/>
    <w:rsid w:val="00436974"/>
    <w:rsid w:val="00436C78"/>
    <w:rsid w:val="004436FE"/>
    <w:rsid w:val="00454FCB"/>
    <w:rsid w:val="00461979"/>
    <w:rsid w:val="00465816"/>
    <w:rsid w:val="00473B02"/>
    <w:rsid w:val="005007C1"/>
    <w:rsid w:val="00524B80"/>
    <w:rsid w:val="00551D7A"/>
    <w:rsid w:val="00575F55"/>
    <w:rsid w:val="005966D1"/>
    <w:rsid w:val="005B01B1"/>
    <w:rsid w:val="005B4009"/>
    <w:rsid w:val="005C6CD6"/>
    <w:rsid w:val="005D4955"/>
    <w:rsid w:val="005D4BEC"/>
    <w:rsid w:val="006234B9"/>
    <w:rsid w:val="00627EDF"/>
    <w:rsid w:val="00627F39"/>
    <w:rsid w:val="006539AE"/>
    <w:rsid w:val="00667A45"/>
    <w:rsid w:val="006747B5"/>
    <w:rsid w:val="006B6394"/>
    <w:rsid w:val="006D7A78"/>
    <w:rsid w:val="006E4341"/>
    <w:rsid w:val="006F2069"/>
    <w:rsid w:val="006F3585"/>
    <w:rsid w:val="006F585C"/>
    <w:rsid w:val="00741F16"/>
    <w:rsid w:val="007462E3"/>
    <w:rsid w:val="0075202C"/>
    <w:rsid w:val="00784DA3"/>
    <w:rsid w:val="00795609"/>
    <w:rsid w:val="007C1E2D"/>
    <w:rsid w:val="007F24BB"/>
    <w:rsid w:val="00872ABD"/>
    <w:rsid w:val="00887227"/>
    <w:rsid w:val="00895437"/>
    <w:rsid w:val="00897E0B"/>
    <w:rsid w:val="008A00E4"/>
    <w:rsid w:val="008A121E"/>
    <w:rsid w:val="00911330"/>
    <w:rsid w:val="0094162B"/>
    <w:rsid w:val="009467CE"/>
    <w:rsid w:val="009516FF"/>
    <w:rsid w:val="00955C3B"/>
    <w:rsid w:val="009812DC"/>
    <w:rsid w:val="009910D6"/>
    <w:rsid w:val="009B43E9"/>
    <w:rsid w:val="009B7E80"/>
    <w:rsid w:val="009C1E96"/>
    <w:rsid w:val="009E4897"/>
    <w:rsid w:val="00A0032C"/>
    <w:rsid w:val="00A15A81"/>
    <w:rsid w:val="00A522D1"/>
    <w:rsid w:val="00A57C4A"/>
    <w:rsid w:val="00A704D8"/>
    <w:rsid w:val="00A85C8C"/>
    <w:rsid w:val="00AA3E10"/>
    <w:rsid w:val="00AA6ADA"/>
    <w:rsid w:val="00AA75E3"/>
    <w:rsid w:val="00AC2C8A"/>
    <w:rsid w:val="00AD6EF3"/>
    <w:rsid w:val="00AE10FB"/>
    <w:rsid w:val="00AE5D77"/>
    <w:rsid w:val="00B05ECA"/>
    <w:rsid w:val="00B06854"/>
    <w:rsid w:val="00B46BE6"/>
    <w:rsid w:val="00B64F5A"/>
    <w:rsid w:val="00B70BB5"/>
    <w:rsid w:val="00B85B9C"/>
    <w:rsid w:val="00BA1970"/>
    <w:rsid w:val="00BA2C3D"/>
    <w:rsid w:val="00BD3AD3"/>
    <w:rsid w:val="00C026CD"/>
    <w:rsid w:val="00C07045"/>
    <w:rsid w:val="00C22D8E"/>
    <w:rsid w:val="00C23C1C"/>
    <w:rsid w:val="00C569FD"/>
    <w:rsid w:val="00C663F0"/>
    <w:rsid w:val="00C730E8"/>
    <w:rsid w:val="00C86669"/>
    <w:rsid w:val="00CA1220"/>
    <w:rsid w:val="00CA6772"/>
    <w:rsid w:val="00CB614B"/>
    <w:rsid w:val="00CC1858"/>
    <w:rsid w:val="00CD396A"/>
    <w:rsid w:val="00CD6A94"/>
    <w:rsid w:val="00CD73D8"/>
    <w:rsid w:val="00CE39DA"/>
    <w:rsid w:val="00CF42E1"/>
    <w:rsid w:val="00D15EC3"/>
    <w:rsid w:val="00D30272"/>
    <w:rsid w:val="00D57A9A"/>
    <w:rsid w:val="00D96461"/>
    <w:rsid w:val="00DB26EE"/>
    <w:rsid w:val="00DC66D9"/>
    <w:rsid w:val="00DF38E4"/>
    <w:rsid w:val="00DF5934"/>
    <w:rsid w:val="00E03131"/>
    <w:rsid w:val="00E0544C"/>
    <w:rsid w:val="00E05DC7"/>
    <w:rsid w:val="00E4698C"/>
    <w:rsid w:val="00E6291E"/>
    <w:rsid w:val="00EA0887"/>
    <w:rsid w:val="00EA347F"/>
    <w:rsid w:val="00EA6071"/>
    <w:rsid w:val="00ED7354"/>
    <w:rsid w:val="00EE11F7"/>
    <w:rsid w:val="00F0203D"/>
    <w:rsid w:val="00F022E1"/>
    <w:rsid w:val="00F23007"/>
    <w:rsid w:val="00F23DD3"/>
    <w:rsid w:val="00F27890"/>
    <w:rsid w:val="00F37AE5"/>
    <w:rsid w:val="00F40BFC"/>
    <w:rsid w:val="00F614B0"/>
    <w:rsid w:val="00F750D2"/>
    <w:rsid w:val="00F81E1C"/>
    <w:rsid w:val="00F82CE0"/>
    <w:rsid w:val="00F872AD"/>
    <w:rsid w:val="00F97EA4"/>
    <w:rsid w:val="00FA11AF"/>
    <w:rsid w:val="00FA4FA3"/>
    <w:rsid w:val="00FC447C"/>
    <w:rsid w:val="00FC5167"/>
    <w:rsid w:val="00FD64A9"/>
    <w:rsid w:val="00FE5E73"/>
    <w:rsid w:val="00FF7CCE"/>
    <w:rsid w:val="057D0C6C"/>
    <w:rsid w:val="061101B7"/>
    <w:rsid w:val="06CF67EC"/>
    <w:rsid w:val="07787057"/>
    <w:rsid w:val="0BCB2AD8"/>
    <w:rsid w:val="1BA813B1"/>
    <w:rsid w:val="1CBC4DE6"/>
    <w:rsid w:val="1F2C25B2"/>
    <w:rsid w:val="20691543"/>
    <w:rsid w:val="26397753"/>
    <w:rsid w:val="2EC83345"/>
    <w:rsid w:val="31F057ED"/>
    <w:rsid w:val="36CC24F7"/>
    <w:rsid w:val="3BEE2C2F"/>
    <w:rsid w:val="569C0F0C"/>
    <w:rsid w:val="571456FB"/>
    <w:rsid w:val="65272356"/>
    <w:rsid w:val="67CC6DC1"/>
    <w:rsid w:val="6F9F0E6D"/>
    <w:rsid w:val="75E455F3"/>
    <w:rsid w:val="77746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Normal Indent"/>
    <w:basedOn w:val="1"/>
    <w:qFormat/>
    <w:uiPriority w:val="99"/>
    <w:pPr>
      <w:ind w:firstLine="640"/>
    </w:pPr>
    <w:rPr>
      <w:szCs w:val="20"/>
    </w:rPr>
  </w:style>
  <w:style w:type="paragraph" w:styleId="4">
    <w:name w:val="Body Text"/>
    <w:basedOn w:val="1"/>
    <w:qFormat/>
    <w:uiPriority w:val="1"/>
    <w:pPr>
      <w:ind w:left="138"/>
      <w:jc w:val="left"/>
    </w:pPr>
    <w:rPr>
      <w:rFonts w:ascii="宋体" w:hAnsi="宋体" w:eastAsia="宋体" w:cs="宋体"/>
      <w:kern w:val="0"/>
      <w:sz w:val="32"/>
      <w:szCs w:val="32"/>
      <w:lang w:eastAsia="en-US"/>
    </w:rPr>
  </w:style>
  <w:style w:type="paragraph" w:styleId="5">
    <w:name w:val="Date"/>
    <w:basedOn w:val="1"/>
    <w:next w:val="1"/>
    <w:link w:val="19"/>
    <w:unhideWhenUsed/>
    <w:qFormat/>
    <w:uiPriority w:val="99"/>
    <w:pPr>
      <w:ind w:left="100" w:leftChars="2500"/>
    </w:pPr>
  </w:style>
  <w:style w:type="paragraph" w:styleId="6">
    <w:name w:val="Balloon Text"/>
    <w:basedOn w:val="1"/>
    <w:link w:val="21"/>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HTML Preformatted"/>
    <w:basedOn w:val="1"/>
    <w:link w:val="20"/>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table" w:styleId="15">
    <w:name w:val="Table Grid"/>
    <w:basedOn w:val="14"/>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6">
    <w:name w:val="页眉 字符"/>
    <w:basedOn w:val="11"/>
    <w:link w:val="8"/>
    <w:qFormat/>
    <w:uiPriority w:val="99"/>
    <w:rPr>
      <w:sz w:val="18"/>
      <w:szCs w:val="18"/>
    </w:rPr>
  </w:style>
  <w:style w:type="character" w:customStyle="1" w:styleId="17">
    <w:name w:val="页脚 字符"/>
    <w:basedOn w:val="11"/>
    <w:link w:val="7"/>
    <w:qFormat/>
    <w:uiPriority w:val="99"/>
    <w:rPr>
      <w:sz w:val="18"/>
      <w:szCs w:val="18"/>
    </w:rPr>
  </w:style>
  <w:style w:type="paragraph" w:customStyle="1" w:styleId="18">
    <w:name w:val="List Paragraph"/>
    <w:basedOn w:val="1"/>
    <w:qFormat/>
    <w:uiPriority w:val="34"/>
    <w:pPr>
      <w:ind w:firstLine="420" w:firstLineChars="200"/>
    </w:pPr>
  </w:style>
  <w:style w:type="character" w:customStyle="1" w:styleId="19">
    <w:name w:val="日期 字符"/>
    <w:basedOn w:val="11"/>
    <w:link w:val="5"/>
    <w:semiHidden/>
    <w:qFormat/>
    <w:uiPriority w:val="99"/>
  </w:style>
  <w:style w:type="character" w:customStyle="1" w:styleId="20">
    <w:name w:val="HTML 预设格式 字符"/>
    <w:basedOn w:val="11"/>
    <w:link w:val="9"/>
    <w:semiHidden/>
    <w:qFormat/>
    <w:uiPriority w:val="99"/>
    <w:rPr>
      <w:rFonts w:ascii="宋体" w:hAnsi="宋体" w:eastAsia="宋体" w:cs="宋体"/>
      <w:kern w:val="0"/>
      <w:sz w:val="24"/>
      <w:szCs w:val="24"/>
    </w:rPr>
  </w:style>
  <w:style w:type="character" w:customStyle="1" w:styleId="21">
    <w:name w:val="批注框文本 字符"/>
    <w:basedOn w:val="11"/>
    <w:link w:val="6"/>
    <w:semiHidden/>
    <w:qFormat/>
    <w:uiPriority w:val="99"/>
    <w:rPr>
      <w:sz w:val="18"/>
      <w:szCs w:val="18"/>
    </w:rPr>
  </w:style>
  <w:style w:type="paragraph" w:customStyle="1" w:styleId="22">
    <w:name w:val="msolistparagraph"/>
    <w:basedOn w:val="1"/>
    <w:qFormat/>
    <w:uiPriority w:val="0"/>
    <w:pPr>
      <w:ind w:firstLine="420" w:firstLineChars="200"/>
    </w:pPr>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E004FB-B7D1-4769-A7C8-0B2275C2F1F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633</Words>
  <Characters>3611</Characters>
  <Lines>30</Lines>
  <Paragraphs>8</Paragraphs>
  <TotalTime>0</TotalTime>
  <ScaleCrop>false</ScaleCrop>
  <LinksUpToDate>false</LinksUpToDate>
  <CharactersWithSpaces>4236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2020-05-21T03:43:00Z</dcterms:created>
  <dc:creator>严玲</dc:creator>
  <cp:lastModifiedBy>黎霞</cp:lastModifiedBy>
  <cp:lastPrinted>2020-06-16T07:31:00Z</cp:lastPrinted>
  <dcterms:modified xsi:type="dcterms:W3CDTF">2023-03-01T03:11:27Z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2B7F637FB3DD4B7D9EA9912FA502C511</vt:lpwstr>
  </property>
</Properties>
</file>